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F14E5">
      <w:pPr>
        <w:keepNext w:val="0"/>
        <w:keepLines w:val="0"/>
        <w:pageBreakBefore w:val="0"/>
        <w:widowControl w:val="0"/>
        <w:kinsoku/>
        <w:wordWrap/>
        <w:overflowPunct/>
        <w:topLinePunct w:val="0"/>
        <w:autoSpaceDE/>
        <w:autoSpaceDN/>
        <w:bidi w:val="0"/>
        <w:adjustRightInd/>
        <w:snapToGrid/>
        <w:spacing w:line="640" w:lineRule="exact"/>
        <w:ind w:right="0"/>
        <w:jc w:val="left"/>
        <w:textAlignment w:val="auto"/>
        <w:rPr>
          <w:rFonts w:hint="default"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附件5</w:t>
      </w:r>
    </w:p>
    <w:p w14:paraId="44E95BC9">
      <w:pPr>
        <w:keepNext w:val="0"/>
        <w:keepLines w:val="0"/>
        <w:pageBreakBefore w:val="0"/>
        <w:widowControl w:val="0"/>
        <w:kinsoku/>
        <w:wordWrap/>
        <w:overflowPunct/>
        <w:topLinePunct w:val="0"/>
        <w:autoSpaceDE/>
        <w:autoSpaceDN/>
        <w:bidi w:val="0"/>
        <w:adjustRightInd/>
        <w:snapToGrid/>
        <w:spacing w:line="640" w:lineRule="exact"/>
        <w:ind w:right="0"/>
        <w:jc w:val="center"/>
        <w:textAlignment w:val="auto"/>
        <w:rPr>
          <w:rFonts w:hint="eastAsia" w:ascii="方正小标宋简体" w:hAnsi="方正小标宋简体" w:eastAsia="方正小标宋简体" w:cs="方正小标宋简体"/>
          <w:color w:val="000000"/>
          <w:kern w:val="0"/>
          <w:sz w:val="44"/>
          <w:szCs w:val="44"/>
          <w:lang w:val="en-US" w:eastAsia="zh-CN"/>
        </w:rPr>
      </w:pPr>
      <w:r>
        <w:rPr>
          <w:rFonts w:hint="eastAsia" w:ascii="方正小标宋简体" w:hAnsi="方正小标宋简体" w:eastAsia="方正小标宋简体" w:cs="方正小标宋简体"/>
          <w:color w:val="000000"/>
          <w:kern w:val="0"/>
          <w:sz w:val="44"/>
          <w:szCs w:val="44"/>
          <w:lang w:val="en-US" w:eastAsia="zh-CN"/>
        </w:rPr>
        <w:t>2025年广东省科技创</w:t>
      </w:r>
      <w:bookmarkStart w:id="0" w:name="_GoBack"/>
      <w:bookmarkEnd w:id="0"/>
      <w:r>
        <w:rPr>
          <w:rFonts w:hint="eastAsia" w:ascii="方正小标宋简体" w:hAnsi="方正小标宋简体" w:eastAsia="方正小标宋简体" w:cs="方正小标宋简体"/>
          <w:color w:val="000000"/>
          <w:kern w:val="0"/>
          <w:sz w:val="44"/>
          <w:szCs w:val="44"/>
          <w:lang w:val="en-US" w:eastAsia="zh-CN"/>
        </w:rPr>
        <w:t>新战略专项资金</w:t>
      </w:r>
    </w:p>
    <w:p w14:paraId="1237F56B">
      <w:pPr>
        <w:keepNext w:val="0"/>
        <w:keepLines w:val="0"/>
        <w:pageBreakBefore w:val="0"/>
        <w:widowControl w:val="0"/>
        <w:kinsoku/>
        <w:wordWrap/>
        <w:overflowPunct/>
        <w:topLinePunct w:val="0"/>
        <w:autoSpaceDE/>
        <w:autoSpaceDN/>
        <w:bidi w:val="0"/>
        <w:adjustRightInd/>
        <w:snapToGrid/>
        <w:spacing w:line="640" w:lineRule="exact"/>
        <w:ind w:right="0"/>
        <w:jc w:val="center"/>
        <w:textAlignment w:val="auto"/>
        <w:rPr>
          <w:rFonts w:hint="eastAsia" w:ascii="方正小标宋简体" w:hAnsi="方正小标宋简体" w:eastAsia="方正小标宋简体" w:cs="方正小标宋简体"/>
          <w:color w:val="000000"/>
          <w:kern w:val="0"/>
          <w:sz w:val="44"/>
          <w:szCs w:val="44"/>
          <w:lang w:val="en-US" w:eastAsia="zh-CN"/>
        </w:rPr>
      </w:pPr>
      <w:r>
        <w:rPr>
          <w:rFonts w:hint="eastAsia" w:ascii="方正小标宋简体" w:hAnsi="方正小标宋简体" w:eastAsia="方正小标宋简体" w:cs="方正小标宋简体"/>
          <w:color w:val="000000"/>
          <w:kern w:val="0"/>
          <w:sz w:val="44"/>
          <w:szCs w:val="44"/>
          <w:lang w:val="en-US" w:eastAsia="zh-CN"/>
        </w:rPr>
        <w:t>（大学生科技创新培育）立项项目</w:t>
      </w:r>
    </w:p>
    <w:p w14:paraId="6214BC08">
      <w:pPr>
        <w:keepNext w:val="0"/>
        <w:keepLines w:val="0"/>
        <w:pageBreakBefore w:val="0"/>
        <w:widowControl w:val="0"/>
        <w:kinsoku/>
        <w:wordWrap/>
        <w:overflowPunct/>
        <w:topLinePunct w:val="0"/>
        <w:autoSpaceDE/>
        <w:autoSpaceDN/>
        <w:bidi w:val="0"/>
        <w:adjustRightInd/>
        <w:snapToGrid/>
        <w:spacing w:line="640" w:lineRule="exact"/>
        <w:ind w:right="0"/>
        <w:jc w:val="center"/>
        <w:textAlignment w:val="auto"/>
        <w:rPr>
          <w:rFonts w:hint="default" w:ascii="方正小标宋简体" w:hAnsi="方正小标宋简体" w:eastAsia="方正小标宋简体" w:cs="方正小标宋简体"/>
          <w:color w:val="000000"/>
          <w:kern w:val="0"/>
          <w:sz w:val="44"/>
          <w:szCs w:val="44"/>
          <w:lang w:val="en-US" w:eastAsia="zh-CN"/>
        </w:rPr>
      </w:pPr>
      <w:r>
        <w:rPr>
          <w:rFonts w:hint="eastAsia" w:ascii="方正小标宋简体" w:hAnsi="方正小标宋简体" w:eastAsia="方正小标宋简体" w:cs="方正小标宋简体"/>
          <w:color w:val="000000"/>
          <w:kern w:val="0"/>
          <w:sz w:val="44"/>
          <w:szCs w:val="44"/>
          <w:lang w:val="en-US" w:eastAsia="zh-CN"/>
        </w:rPr>
        <w:t>校级评审标准</w:t>
      </w:r>
    </w:p>
    <w:p w14:paraId="2AFF2AF4">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eastAsia" w:ascii="Times New Roman" w:hAnsi="Times New Roman" w:eastAsia="仿宋_GB2312" w:cs="仿宋_GB2312"/>
          <w:color w:val="000000"/>
          <w:kern w:val="0"/>
          <w:sz w:val="32"/>
          <w:szCs w:val="32"/>
          <w:lang w:val="en-US" w:eastAsia="zh-CN"/>
        </w:rPr>
      </w:pPr>
    </w:p>
    <w:p w14:paraId="3E9A9ACF">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default" w:cs="仿宋_GB2312"/>
          <w:color w:val="000000"/>
          <w:kern w:val="0"/>
          <w:sz w:val="32"/>
          <w:szCs w:val="32"/>
          <w:lang w:val="en-US" w:eastAsia="zh-CN"/>
        </w:rPr>
      </w:pPr>
      <w:r>
        <w:rPr>
          <w:rFonts w:hint="default" w:cs="仿宋_GB2312"/>
          <w:color w:val="000000"/>
          <w:kern w:val="0"/>
          <w:sz w:val="32"/>
          <w:szCs w:val="32"/>
          <w:lang w:val="en-US" w:eastAsia="zh-CN"/>
        </w:rPr>
        <w:t>广东省科技创新战略专项资金（大学生科技创新培育）是广东省政府每年从财政经费预算中划拨专门用于推进广东省大学生科技创新培育项目的专项资金，在全省遴选、培育和资助一批大学生科技创新团队开展县域产业发展、文化建设、公共服务和科技服务等四类实践研究项目。本评审</w:t>
      </w:r>
      <w:r>
        <w:rPr>
          <w:rFonts w:hint="eastAsia" w:ascii="仿宋_GB2312" w:hAnsi="仿宋_GB2312" w:eastAsia="仿宋_GB2312" w:cs="仿宋_GB2312"/>
          <w:color w:val="000000"/>
          <w:kern w:val="0"/>
          <w:sz w:val="32"/>
          <w:szCs w:val="32"/>
          <w:lang w:val="en-US" w:eastAsia="zh-CN"/>
        </w:rPr>
        <w:t>标准结合广东青年大学生“百千万工程”突击队行动和“挑战杯”系列竞赛有关要求制</w:t>
      </w:r>
      <w:r>
        <w:rPr>
          <w:rFonts w:hint="default" w:cs="仿宋_GB2312"/>
          <w:color w:val="000000"/>
          <w:kern w:val="0"/>
          <w:sz w:val="32"/>
          <w:szCs w:val="32"/>
          <w:lang w:val="en-US" w:eastAsia="zh-CN"/>
        </w:rPr>
        <w:t>定。</w:t>
      </w:r>
    </w:p>
    <w:p w14:paraId="127F21DD">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一、评审原则</w:t>
      </w:r>
    </w:p>
    <w:p w14:paraId="5234609D">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default" w:cs="仿宋_GB2312"/>
          <w:color w:val="000000"/>
          <w:kern w:val="0"/>
          <w:sz w:val="32"/>
          <w:szCs w:val="32"/>
          <w:lang w:val="en-US" w:eastAsia="zh-CN"/>
        </w:rPr>
      </w:pPr>
      <w:r>
        <w:rPr>
          <w:rFonts w:hint="default" w:cs="仿宋_GB2312"/>
          <w:color w:val="000000"/>
          <w:kern w:val="0"/>
          <w:sz w:val="32"/>
          <w:szCs w:val="32"/>
          <w:lang w:val="en-US" w:eastAsia="zh-CN"/>
        </w:rPr>
        <w:t>评审过程应坚持公平、公正、客观的原则，实行回避制度和保密制度</w:t>
      </w:r>
      <w:r>
        <w:rPr>
          <w:rFonts w:hint="eastAsia" w:cs="仿宋_GB2312"/>
          <w:color w:val="000000"/>
          <w:kern w:val="0"/>
          <w:sz w:val="32"/>
          <w:szCs w:val="32"/>
          <w:lang w:val="en-US" w:eastAsia="zh-CN"/>
        </w:rPr>
        <w:t>，</w:t>
      </w:r>
      <w:r>
        <w:rPr>
          <w:rFonts w:hint="default" w:cs="仿宋_GB2312"/>
          <w:color w:val="000000"/>
          <w:kern w:val="0"/>
          <w:sz w:val="32"/>
          <w:szCs w:val="32"/>
          <w:lang w:val="en-US" w:eastAsia="zh-CN"/>
        </w:rPr>
        <w:t>做好评审过程资料存档。</w:t>
      </w:r>
    </w:p>
    <w:p w14:paraId="662DB8F7">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二、评审要点</w:t>
      </w:r>
    </w:p>
    <w:p w14:paraId="7BFEC05E">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（一）发展前景（30%）</w:t>
      </w:r>
    </w:p>
    <w:p w14:paraId="6D1C706F">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关注项目是否对应党政工作大局的要求和社会实际的需要，特别是贯彻落实省</w:t>
      </w:r>
      <w:r>
        <w:rPr>
          <w:rFonts w:hint="eastAsia" w:ascii="仿宋_GB2312" w:hAnsi="仿宋_GB2312" w:eastAsia="仿宋_GB2312" w:cs="仿宋_GB2312"/>
          <w:sz w:val="32"/>
          <w:szCs w:val="32"/>
          <w:lang w:val="en-US" w:eastAsia="zh-CN"/>
        </w:rPr>
        <w:t>委“百千万工程”</w:t>
      </w:r>
      <w:r>
        <w:rPr>
          <w:rFonts w:hint="default" w:ascii="Times New Roman" w:hAnsi="Times New Roman" w:eastAsia="仿宋_GB2312" w:cs="Times New Roman"/>
          <w:sz w:val="32"/>
          <w:szCs w:val="32"/>
          <w:lang w:val="en-US" w:eastAsia="zh-CN"/>
        </w:rPr>
        <w:t>战略部署的情况。主要考察以下三方面内容：项目前瞻性、效益性、转化前景。</w:t>
      </w:r>
    </w:p>
    <w:p w14:paraId="75B80E23">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（二）社会价值（20%）</w:t>
      </w:r>
    </w:p>
    <w:p w14:paraId="269BEE9D">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Times New Roman" w:hAnsi="Times New Roman" w:cs="Times New Roman"/>
          <w:sz w:val="32"/>
          <w:szCs w:val="32"/>
          <w:lang w:val="en-US" w:eastAsia="zh-CN"/>
        </w:rPr>
      </w:pPr>
      <w:r>
        <w:rPr>
          <w:rFonts w:hint="default" w:ascii="Times New Roman" w:hAnsi="Times New Roman" w:eastAsia="仿宋_GB2312" w:cs="Times New Roman"/>
          <w:sz w:val="32"/>
          <w:szCs w:val="32"/>
          <w:lang w:val="en-US" w:eastAsia="zh-CN"/>
        </w:rPr>
        <w:t>关注项目在县域产业发展、文化建设、公共服务、科技服务等领域对社会的贡献度。主要考察以下两方面内容：</w:t>
      </w:r>
    </w:p>
    <w:p w14:paraId="0DF3308F">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1.项目立意方面：考察是否贯彻新发展理念、推动高质量发展，符合新质生产力的要求；</w:t>
      </w:r>
    </w:p>
    <w:p w14:paraId="5198F617">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2.项目作用发挥方面：考察项目结合社会实践、社会观察，履行社会责任的做法与成效。</w:t>
      </w:r>
    </w:p>
    <w:p w14:paraId="16943A26">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（三）创新意义（20%） </w:t>
      </w:r>
    </w:p>
    <w:p w14:paraId="48B87854">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关注项目本身设计及后续成果转化方面的先进性、创新性、学术性。主要考察以下两方面内容：</w:t>
      </w:r>
    </w:p>
    <w:p w14:paraId="0A4FEFE6">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1.项目创新程度：考察项目在赋能产业、文化活化、管理服务和科学技术、或应用场景等方面有一定的创新性、前瞻性；</w:t>
      </w:r>
    </w:p>
    <w:p w14:paraId="46331419">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2.成果转化方面：考察项目团队对于后续成果转化有清晰的思路或研究考虑，项目在与学校科技成果转移转化或赋能传统产业、解决社会问题等方面有积极作用。</w:t>
      </w:r>
    </w:p>
    <w:p w14:paraId="67050FDA">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（四）团队结构（20%） </w:t>
      </w:r>
    </w:p>
    <w:p w14:paraId="126A0C9B">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关注团队成员的专业背景、基本素质、价值观念与项目需求相匹配。主要考察以下三方面内容：</w:t>
      </w:r>
    </w:p>
    <w:p w14:paraId="2F19725E">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1.团队成员结构方面：考察团队成员是否配备完整、有相关专业人才和团队人员知识结构、组织架构、人才梯度、工作分工的合理性；</w:t>
      </w:r>
    </w:p>
    <w:p w14:paraId="21D186C5">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2.团队成员能力方面：考察团队成员是否具有整合资源、分析研判的前瞻性，具备基础实战和成果转化能力；</w:t>
      </w:r>
    </w:p>
    <w:p w14:paraId="2B33853A">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3.指导老师配备方面：</w:t>
      </w:r>
      <w:r>
        <w:rPr>
          <w:rFonts w:hint="eastAsia" w:ascii="Times New Roman" w:hAnsi="Times New Roman" w:cs="Times New Roman"/>
          <w:sz w:val="32"/>
          <w:szCs w:val="32"/>
          <w:lang w:val="en-US" w:eastAsia="zh-CN"/>
        </w:rPr>
        <w:t>考</w:t>
      </w:r>
      <w:r>
        <w:rPr>
          <w:rFonts w:hint="default" w:ascii="Times New Roman" w:hAnsi="Times New Roman" w:eastAsia="仿宋_GB2312" w:cs="Times New Roman"/>
          <w:sz w:val="32"/>
          <w:szCs w:val="32"/>
          <w:lang w:val="en-US" w:eastAsia="zh-CN"/>
        </w:rPr>
        <w:t>察指导老师配备是否贴合项目研究主体专业、兼顾多学科背景和具备35岁以下青年教师。</w:t>
      </w:r>
    </w:p>
    <w:p w14:paraId="22F8660F">
      <w:pPr>
        <w:keepNext w:val="0"/>
        <w:keepLines w:val="0"/>
        <w:pageBreakBefore w:val="0"/>
        <w:widowControl w:val="0"/>
        <w:kinsoku/>
        <w:wordWrap/>
        <w:overflowPunct/>
        <w:topLinePunct w:val="0"/>
        <w:autoSpaceDE/>
        <w:autoSpaceDN/>
        <w:bidi w:val="0"/>
        <w:adjustRightInd/>
        <w:snapToGrid/>
        <w:spacing w:line="240" w:lineRule="auto"/>
        <w:ind w:firstLine="624"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 xml:space="preserve">（五）项目来源（10%） </w:t>
      </w:r>
    </w:p>
    <w:p w14:paraId="1C006E08">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default" w:cs="仿宋_GB2312"/>
          <w:color w:val="000000"/>
          <w:kern w:val="0"/>
          <w:sz w:val="32"/>
          <w:szCs w:val="32"/>
          <w:lang w:val="en-US" w:eastAsia="zh-CN"/>
        </w:rPr>
      </w:pPr>
      <w:r>
        <w:rPr>
          <w:rFonts w:hint="default" w:ascii="Times New Roman" w:hAnsi="Times New Roman" w:eastAsia="仿宋_GB2312" w:cs="Times New Roman"/>
          <w:sz w:val="32"/>
          <w:szCs w:val="32"/>
          <w:lang w:val="en-US" w:eastAsia="zh-CN"/>
        </w:rPr>
        <w:t>关注项目与其他社会实践工作衔接结合的情况。主要考察项目是否有深入社会、行业、实验场所、实训基地，开展调查研究、试点运营、试验论证。在同等条件下，对已参加广东青年大学</w:t>
      </w:r>
      <w:r>
        <w:rPr>
          <w:rFonts w:hint="eastAsia" w:ascii="仿宋_GB2312" w:hAnsi="仿宋_GB2312" w:eastAsia="仿宋_GB2312" w:cs="仿宋_GB2312"/>
          <w:sz w:val="32"/>
          <w:szCs w:val="32"/>
          <w:lang w:val="en-US" w:eastAsia="zh-CN"/>
        </w:rPr>
        <w:t>生“百千万工程”突击队行动或“挑战杯”竞赛</w:t>
      </w:r>
      <w:r>
        <w:rPr>
          <w:rFonts w:hint="default" w:ascii="Times New Roman" w:hAnsi="Times New Roman" w:eastAsia="仿宋_GB2312" w:cs="Times New Roman"/>
          <w:sz w:val="32"/>
          <w:szCs w:val="32"/>
          <w:lang w:val="en-US" w:eastAsia="zh-CN"/>
        </w:rPr>
        <w:t>的项目可以予以适当加分。</w:t>
      </w:r>
    </w:p>
    <w:p w14:paraId="61046163">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default" w:cs="仿宋_GB2312"/>
          <w:color w:val="000000"/>
          <w:kern w:val="0"/>
          <w:sz w:val="32"/>
          <w:szCs w:val="32"/>
          <w:lang w:val="en-US" w:eastAsia="zh-CN"/>
        </w:rPr>
      </w:pPr>
    </w:p>
    <w:p w14:paraId="1A9E88A1">
      <w:pPr>
        <w:keepNext w:val="0"/>
        <w:keepLines w:val="0"/>
        <w:pageBreakBefore w:val="0"/>
        <w:widowControl w:val="0"/>
        <w:kinsoku/>
        <w:wordWrap/>
        <w:overflowPunct/>
        <w:topLinePunct w:val="0"/>
        <w:autoSpaceDE/>
        <w:autoSpaceDN/>
        <w:bidi w:val="0"/>
        <w:adjustRightInd/>
        <w:snapToGrid/>
        <w:spacing w:line="240" w:lineRule="auto"/>
        <w:ind w:right="0" w:firstLine="624" w:firstLineChars="200"/>
        <w:jc w:val="both"/>
        <w:textAlignment w:val="auto"/>
        <w:rPr>
          <w:rFonts w:hint="default" w:cs="仿宋_GB2312"/>
          <w:color w:val="000000"/>
          <w:kern w:val="0"/>
          <w:sz w:val="32"/>
          <w:szCs w:val="32"/>
          <w:lang w:val="en-US" w:eastAsia="zh-CN"/>
        </w:rPr>
      </w:pPr>
    </w:p>
    <w:p w14:paraId="0DE9499E">
      <w:pPr>
        <w:keepNext w:val="0"/>
        <w:keepLines w:val="0"/>
        <w:pageBreakBefore w:val="0"/>
        <w:widowControl w:val="0"/>
        <w:kinsoku/>
        <w:wordWrap w:val="0"/>
        <w:overflowPunct/>
        <w:topLinePunct w:val="0"/>
        <w:autoSpaceDE/>
        <w:autoSpaceDN/>
        <w:bidi w:val="0"/>
        <w:adjustRightInd/>
        <w:snapToGrid/>
        <w:spacing w:line="240" w:lineRule="auto"/>
        <w:ind w:right="0" w:firstLine="624" w:firstLineChars="200"/>
        <w:jc w:val="right"/>
        <w:textAlignment w:val="auto"/>
        <w:rPr>
          <w:rFonts w:hint="default" w:cs="仿宋_GB2312"/>
          <w:color w:val="000000"/>
          <w:kern w:val="0"/>
          <w:sz w:val="32"/>
          <w:szCs w:val="32"/>
          <w:lang w:val="en-US" w:eastAsia="zh-CN"/>
        </w:rPr>
      </w:pPr>
      <w:r>
        <w:rPr>
          <w:rFonts w:hint="eastAsia" w:cs="仿宋_GB2312"/>
          <w:color w:val="000000"/>
          <w:kern w:val="0"/>
          <w:sz w:val="32"/>
          <w:szCs w:val="32"/>
          <w:lang w:val="en-US" w:eastAsia="zh-CN"/>
        </w:rPr>
        <w:t xml:space="preserve">共青团东莞城市学院委员会       </w:t>
      </w:r>
    </w:p>
    <w:p w14:paraId="4BF89CD3">
      <w:pPr>
        <w:keepNext w:val="0"/>
        <w:keepLines w:val="0"/>
        <w:pageBreakBefore w:val="0"/>
        <w:widowControl w:val="0"/>
        <w:kinsoku/>
        <w:wordWrap w:val="0"/>
        <w:overflowPunct/>
        <w:topLinePunct w:val="0"/>
        <w:autoSpaceDE/>
        <w:autoSpaceDN/>
        <w:bidi w:val="0"/>
        <w:adjustRightInd/>
        <w:snapToGrid/>
        <w:spacing w:line="240" w:lineRule="auto"/>
        <w:ind w:right="0" w:firstLine="624" w:firstLineChars="200"/>
        <w:jc w:val="right"/>
        <w:textAlignment w:val="auto"/>
        <w:rPr>
          <w:rFonts w:hint="default" w:cs="仿宋_GB2312"/>
          <w:color w:val="000000"/>
          <w:kern w:val="0"/>
          <w:sz w:val="32"/>
          <w:szCs w:val="32"/>
          <w:lang w:val="en-US" w:eastAsia="zh-CN"/>
        </w:rPr>
      </w:pPr>
      <w:r>
        <w:rPr>
          <w:rFonts w:hint="eastAsia" w:cs="仿宋_GB2312"/>
          <w:color w:val="000000"/>
          <w:kern w:val="0"/>
          <w:sz w:val="32"/>
          <w:szCs w:val="32"/>
          <w:lang w:val="en-US" w:eastAsia="zh-CN"/>
        </w:rPr>
        <w:t xml:space="preserve">2025年1月24日          </w:t>
      </w:r>
    </w:p>
    <w:sectPr>
      <w:footerReference r:id="rId3" w:type="default"/>
      <w:footerReference r:id="rId4" w:type="even"/>
      <w:pgSz w:w="11906" w:h="16838"/>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type="linesAndChars" w:linePitch="622" w:charSpace="-16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华康简标题宋">
    <w:altName w:val="汉仪书宋二KW"/>
    <w:panose1 w:val="02010609000101010101"/>
    <w:charset w:val="86"/>
    <w:family w:val="modern"/>
    <w:pitch w:val="default"/>
    <w:sig w:usb0="00000000" w:usb1="00000000" w:usb2="00000000" w:usb3="00000000" w:csb0="00040001" w:csb1="00000000"/>
  </w:font>
  <w:font w:name="MingLiU">
    <w:altName w:val="宋体-繁"/>
    <w:panose1 w:val="02020509000000000000"/>
    <w:charset w:val="88"/>
    <w:family w:val="auto"/>
    <w:pitch w:val="default"/>
    <w:sig w:usb0="00000000" w:usb1="00000000" w:usb2="00000016" w:usb3="00000000" w:csb0="00100001" w:csb1="00000000"/>
  </w:font>
  <w:font w:name="方正小标宋简体">
    <w:panose1 w:val="02010601030101010101"/>
    <w:charset w:val="86"/>
    <w:family w:val="auto"/>
    <w:pitch w:val="default"/>
    <w:sig w:usb0="00000001" w:usb1="080E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繁">
    <w:panose1 w:val="02010600040101010101"/>
    <w:charset w:val="86"/>
    <w:family w:val="auto"/>
    <w:pitch w:val="default"/>
    <w:sig w:usb0="00000287" w:usb1="080F0000" w:usb2="00000000" w:usb3="00000000" w:csb0="0004009F" w:csb1="DFD7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2532B">
    <w:pPr>
      <w:pStyle w:val="5"/>
      <w:rPr>
        <w:rFonts w:hint="eastAsia"/>
        <w:lang w:val="en-US" w:eastAsia="zh-CN"/>
      </w:rPr>
    </w:pPr>
  </w:p>
  <w:p w14:paraId="4C6C878C">
    <w:pPr>
      <w:pStyle w:val="5"/>
      <w:rPr>
        <w:rFonts w:hint="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4987925</wp:posOffset>
              </wp:positionH>
              <wp:positionV relativeFrom="paragraph">
                <wp:posOffset>6350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2.75pt;margin-top:0.5pt;height:144pt;width:144pt;mso-position-horizontal-relative:margin;mso-wrap-style:none;z-index:251659264;mso-width-relative:page;mso-height-relative:page;" filled="f" stroked="f" coordsize="21600,21600" o:gfxdata="UEsDBAoAAAAAAIdO4kAAAAAAAAAAAAAAAAAEAAAAZHJzL1BLAwQUAAAACACHTuJAfYF7XdcAAAAK&#10;AQAADwAAAGRycy9kb3ducmV2LnhtbE2PzU7DMBCE70i8g7VI3KjdltKQxqlERTgiteHA0Y23ScA/&#10;ke2m4e3ZnuC4841mZ4rtZA0bMcTeOwnzmQCGrvG6d62Ej7p6yIDFpJxWxjuU8IMRtuXtTaFy7S9u&#10;j+MhtYxCXMyVhC6lIec8Nh1aFWd+QEfs5INVic7Qch3UhcKt4QshnrhVvaMPnRpw12HzfThbCbuq&#10;rsOIMZhPfKuWX+8vj/g6SXl/NxcbYAmn9GeGa32qDiV1Ovqz05EZCetstSIrAZp05WK9JOEoYZE9&#10;C+Blwf9PKH8BUEsDBBQAAAAIAIdO4kDrADh6MQIAAGMEAAAOAAAAZHJzL2Uyb0RvYy54bWytVEuO&#10;EzEQ3SNxB8t70kkQoyhKZxQmCkKKmJECYu243WlL/sl20h0OADdgxYY958o5eO5PBg0sZsHGXXaV&#10;X9V7Ve7FbaMVOQkfpDU5nYzGlAjDbSHNIaefPm5ezSgJkZmCKWtETs8i0NvlyxeL2s3F1FZWFcIT&#10;gJgwr11OqxjdPMsCr4RmYWSdMHCW1msWsfWHrPCsBrpW2XQ8vslq6wvnLRch4HTdOWmP6J8DaMtS&#10;crG2/KiFiR2qF4pFUAqVdIEu22rLUvB4X5ZBRKJyCqaxXZEE9j6t2XLB5gfPXCV5XwJ7TglPOGkm&#10;DZJeodYsMnL08i8oLbm3wZZxxK3OOiKtImAxGT/RZlcxJ1oukDq4q+jh/8HyD6cHT2SBSZhQYphG&#10;xy/fv11+/Lr8/EpwBoFqF+aI2zlExuatbRA8nAccJt5N6XX6ghGBH/Ker/KKJhKeLs2ms9kYLg7f&#10;sAF+9njd+RDfCatJMnLq0b9WVnbahtiFDiEpm7EbqVTbQ2VIndOb12/G7YWrB+DKIEci0RWbrNjs&#10;m57Z3hZnEPO2m43g+EYi+ZaF+MA8hgEF47nEeyylskhie4uSyvov/zpP8egRvJTUGK6cGrwlStR7&#10;g94BMA6GH4z9YJijvrOYVrQDtbQmLvioBrP0Vn/GG1qlHHAxw5Epp3Ew72I34HiDXKxWbdDReXmo&#10;uguYPMfi1uwcT2mSkMGtjhFithongTpVet0we22X+neShvvPfRv1+G9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9gXtd1wAAAAoBAAAPAAAAAAAAAAEAIAAAACIAAABkcnMvZG93bnJldi54bWxQ&#10;SwECFAAUAAAACACHTuJA6wA4ejECAABjBAAADgAAAAAAAAABACAAAAAmAQAAZHJzL2Uyb0RvYy54&#10;bWxQSwUGAAAAAAYABgBZAQAAyQUAAAAA&#10;">
              <v:fill on="f" focussize="0,0"/>
              <v:stroke on="f" weight="0.5pt"/>
              <v:imagedata o:title=""/>
              <o:lock v:ext="edit" aspectratio="f"/>
              <v:textbox inset="0mm,0mm,0mm,0mm" style="mso-fit-shape-to-text:t;">
                <w:txbxContent>
                  <w:p w14:paraId="3CA747E8">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A696">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8401259">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pStyle w:val="2"/>
      <w:suff w:val="nothing"/>
      <w:lvlText w:val=""/>
      <w:lvlJc w:val="left"/>
    </w:lvl>
    <w:lvl w:ilvl="1" w:tentative="0">
      <w:start w:val="0"/>
      <w:numFmt w:val="decimal"/>
      <w:lvlText w:val="%2"/>
      <w:legacy w:legacy="1" w:legacySpace="0" w:legacyIndent="0"/>
      <w:lvlJc w:val="left"/>
      <w:rPr>
        <w:rFonts w:hint="eastAsia" w:ascii="宋体" w:eastAsia="宋体"/>
      </w:rPr>
    </w:lvl>
    <w:lvl w:ilvl="2" w:tentative="0">
      <w:start w:val="0"/>
      <w:numFmt w:val="decimal"/>
      <w:lvlText w:val="%3"/>
      <w:legacy w:legacy="1" w:legacySpace="0" w:legacyIndent="0"/>
      <w:lvlJc w:val="left"/>
      <w:rPr>
        <w:rFonts w:hint="eastAsia" w:ascii="宋体" w:eastAsia="宋体"/>
      </w:rPr>
    </w:lvl>
    <w:lvl w:ilvl="3" w:tentative="0">
      <w:start w:val="0"/>
      <w:numFmt w:val="decimal"/>
      <w:lvlText w:val="%4"/>
      <w:legacy w:legacy="1" w:legacySpace="0" w:legacyIndent="0"/>
      <w:lvlJc w:val="left"/>
      <w:rPr>
        <w:rFonts w:hint="eastAsia" w:ascii="宋体" w:eastAsia="宋体"/>
      </w:rPr>
    </w:lvl>
    <w:lvl w:ilvl="4" w:tentative="0">
      <w:start w:val="0"/>
      <w:numFmt w:val="decimal"/>
      <w:lvlText w:val="%5"/>
      <w:legacy w:legacy="1" w:legacySpace="0" w:legacyIndent="0"/>
      <w:lvlJc w:val="left"/>
      <w:rPr>
        <w:rFonts w:hint="eastAsia" w:ascii="宋体" w:eastAsia="宋体"/>
      </w:rPr>
    </w:lvl>
    <w:lvl w:ilvl="5" w:tentative="0">
      <w:start w:val="0"/>
      <w:numFmt w:val="decimal"/>
      <w:lvlText w:val="%6"/>
      <w:legacy w:legacy="1" w:legacySpace="0" w:legacyIndent="0"/>
      <w:lvlJc w:val="left"/>
      <w:rPr>
        <w:rFonts w:hint="eastAsia" w:ascii="宋体" w:eastAsia="宋体"/>
      </w:rPr>
    </w:lvl>
    <w:lvl w:ilvl="6" w:tentative="0">
      <w:start w:val="0"/>
      <w:numFmt w:val="decimal"/>
      <w:lvlText w:val="%7"/>
      <w:legacy w:legacy="1" w:legacySpace="0" w:legacyIndent="0"/>
      <w:lvlJc w:val="left"/>
      <w:rPr>
        <w:rFonts w:hint="eastAsia" w:ascii="宋体" w:eastAsia="宋体"/>
      </w:rPr>
    </w:lvl>
    <w:lvl w:ilvl="7" w:tentative="0">
      <w:start w:val="0"/>
      <w:numFmt w:val="decimal"/>
      <w:lvlText w:val="%8"/>
      <w:legacy w:legacy="1" w:legacySpace="0" w:legacyIndent="0"/>
      <w:lvlJc w:val="left"/>
      <w:rPr>
        <w:rFonts w:hint="eastAsia" w:ascii="宋体" w:eastAsia="宋体"/>
      </w:rPr>
    </w:lvl>
    <w:lvl w:ilvl="8" w:tentative="0">
      <w:start w:val="0"/>
      <w:numFmt w:val="decimal"/>
      <w:lvlText w:val="%9"/>
      <w:legacy w:legacy="1" w:legacySpace="0" w:legacyIndent="0"/>
      <w:lvlJc w:val="left"/>
      <w:rPr>
        <w:rFonts w:hint="eastAsia" w:asci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aveSubsetFonts/>
  <w:bordersDoNotSurroundHeader w:val="0"/>
  <w:bordersDoNotSurroundFooter w:val="0"/>
  <w:documentProtection w:enforcement="0"/>
  <w:defaultTabStop w:val="420"/>
  <w:evenAndOddHeaders w:val="1"/>
  <w:drawingGridHorizontalSpacing w:val="156"/>
  <w:drawingGridVerticalSpacing w:val="31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2MjhjMWYyNmU2MGMyMzgxNTcwYmZhYjY5ODg2ZWQifQ=="/>
    <w:docVar w:name="KSO_WPS_MARK_KEY" w:val="5478a63b-c571-4587-81e3-c3b2611993d0"/>
  </w:docVars>
  <w:rsids>
    <w:rsidRoot w:val="50570F3F"/>
    <w:rsid w:val="001522B7"/>
    <w:rsid w:val="00E23CA0"/>
    <w:rsid w:val="01026EF1"/>
    <w:rsid w:val="032B1DAE"/>
    <w:rsid w:val="041E636F"/>
    <w:rsid w:val="05F37862"/>
    <w:rsid w:val="06A82945"/>
    <w:rsid w:val="06D355C8"/>
    <w:rsid w:val="07072CD1"/>
    <w:rsid w:val="07A27C9A"/>
    <w:rsid w:val="08543CE4"/>
    <w:rsid w:val="0AE07EFC"/>
    <w:rsid w:val="0CE27562"/>
    <w:rsid w:val="0CEC71B3"/>
    <w:rsid w:val="0F9C02A9"/>
    <w:rsid w:val="111C6E4A"/>
    <w:rsid w:val="12CF5073"/>
    <w:rsid w:val="12F638EE"/>
    <w:rsid w:val="132F11E1"/>
    <w:rsid w:val="1588598C"/>
    <w:rsid w:val="15DB6C49"/>
    <w:rsid w:val="17E57792"/>
    <w:rsid w:val="17F42878"/>
    <w:rsid w:val="196207EA"/>
    <w:rsid w:val="1A5B768A"/>
    <w:rsid w:val="1DF65B7A"/>
    <w:rsid w:val="1F623AB6"/>
    <w:rsid w:val="1FEF7AD7"/>
    <w:rsid w:val="234C7F3A"/>
    <w:rsid w:val="237C2E6E"/>
    <w:rsid w:val="24902896"/>
    <w:rsid w:val="24A3442A"/>
    <w:rsid w:val="26FB4B3F"/>
    <w:rsid w:val="2720142D"/>
    <w:rsid w:val="2A42274D"/>
    <w:rsid w:val="2ACD16E1"/>
    <w:rsid w:val="2C9C7818"/>
    <w:rsid w:val="2CC87328"/>
    <w:rsid w:val="2CFC5CE8"/>
    <w:rsid w:val="2D21097D"/>
    <w:rsid w:val="315D6440"/>
    <w:rsid w:val="31B0163D"/>
    <w:rsid w:val="320E7664"/>
    <w:rsid w:val="38915CE6"/>
    <w:rsid w:val="38D73230"/>
    <w:rsid w:val="3929719C"/>
    <w:rsid w:val="3AB1024A"/>
    <w:rsid w:val="3BF7B51F"/>
    <w:rsid w:val="3D5F81AF"/>
    <w:rsid w:val="3F135765"/>
    <w:rsid w:val="427C198C"/>
    <w:rsid w:val="43483FC8"/>
    <w:rsid w:val="435479AD"/>
    <w:rsid w:val="452C1768"/>
    <w:rsid w:val="46EC1AFE"/>
    <w:rsid w:val="47141965"/>
    <w:rsid w:val="491B113D"/>
    <w:rsid w:val="4A321693"/>
    <w:rsid w:val="4BDE1AF7"/>
    <w:rsid w:val="4DCB0C81"/>
    <w:rsid w:val="4ED259AF"/>
    <w:rsid w:val="50570F3F"/>
    <w:rsid w:val="50F7056B"/>
    <w:rsid w:val="510E4106"/>
    <w:rsid w:val="51CB414B"/>
    <w:rsid w:val="523A5B48"/>
    <w:rsid w:val="538A3215"/>
    <w:rsid w:val="54CF1DD5"/>
    <w:rsid w:val="55BE0C43"/>
    <w:rsid w:val="55DA7792"/>
    <w:rsid w:val="56DEEB8C"/>
    <w:rsid w:val="577D6921"/>
    <w:rsid w:val="583B7847"/>
    <w:rsid w:val="58A1156A"/>
    <w:rsid w:val="5BB47C1E"/>
    <w:rsid w:val="5D8A3ABA"/>
    <w:rsid w:val="5F635831"/>
    <w:rsid w:val="5F856762"/>
    <w:rsid w:val="604B4850"/>
    <w:rsid w:val="62574B9F"/>
    <w:rsid w:val="62696BB9"/>
    <w:rsid w:val="62915E11"/>
    <w:rsid w:val="64DF0EEB"/>
    <w:rsid w:val="652B0772"/>
    <w:rsid w:val="661030EB"/>
    <w:rsid w:val="6653792D"/>
    <w:rsid w:val="6BBD063D"/>
    <w:rsid w:val="6D5E3A7B"/>
    <w:rsid w:val="6DD868C7"/>
    <w:rsid w:val="6DEE2BC9"/>
    <w:rsid w:val="6EAE6D2F"/>
    <w:rsid w:val="6ED52EA9"/>
    <w:rsid w:val="6FA31D56"/>
    <w:rsid w:val="6FDE72F8"/>
    <w:rsid w:val="7070716A"/>
    <w:rsid w:val="71206F88"/>
    <w:rsid w:val="72E33846"/>
    <w:rsid w:val="72FFB1CC"/>
    <w:rsid w:val="77EE0E32"/>
    <w:rsid w:val="78A44AF5"/>
    <w:rsid w:val="78DB646A"/>
    <w:rsid w:val="7A4D0B94"/>
    <w:rsid w:val="7C843E80"/>
    <w:rsid w:val="7DFF6F83"/>
    <w:rsid w:val="7F790677"/>
    <w:rsid w:val="7FFF0944"/>
    <w:rsid w:val="BFAB5A90"/>
    <w:rsid w:val="FB7FE55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widowControl/>
      <w:numPr>
        <w:ilvl w:val="0"/>
        <w:numId w:val="1"/>
      </w:numPr>
      <w:adjustRightInd w:val="0"/>
      <w:spacing w:line="580" w:lineRule="atLeast"/>
      <w:jc w:val="center"/>
      <w:textAlignment w:val="baseline"/>
      <w:outlineLvl w:val="0"/>
    </w:pPr>
    <w:rPr>
      <w:rFonts w:eastAsia="华康简标题宋"/>
      <w:kern w:val="44"/>
      <w:sz w:val="36"/>
      <w:szCs w:val="20"/>
    </w:rPr>
  </w:style>
  <w:style w:type="paragraph" w:styleId="3">
    <w:name w:val="heading 2"/>
    <w:next w:val="1"/>
    <w:qFormat/>
    <w:uiPriority w:val="0"/>
    <w:pPr>
      <w:keepNext/>
      <w:keepLines/>
      <w:autoSpaceDE w:val="0"/>
      <w:autoSpaceDN w:val="0"/>
      <w:jc w:val="distribute"/>
      <w:outlineLvl w:val="1"/>
    </w:pPr>
    <w:rPr>
      <w:rFonts w:ascii="Times New Roman" w:hAnsi="Times New Roman" w:eastAsia="华康简标题宋" w:cs="Times New Roman"/>
      <w:bCs/>
      <w:color w:val="FF0000"/>
      <w:w w:val="70"/>
      <w:sz w:val="112"/>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rPr>
      <w:rFonts w:ascii="Times New Roman" w:hAnsi="Times New Roman" w:eastAsia="宋体" w:cs="Times New Roman"/>
    </w:rPr>
  </w:style>
  <w:style w:type="paragraph" w:styleId="12">
    <w:name w:val="List Paragraph"/>
    <w:basedOn w:val="1"/>
    <w:autoRedefine/>
    <w:qFormat/>
    <w:uiPriority w:val="34"/>
    <w:pPr>
      <w:ind w:firstLine="420" w:firstLineChars="200"/>
    </w:pPr>
  </w:style>
  <w:style w:type="paragraph" w:customStyle="1" w:styleId="13">
    <w:name w:val="Heading #2|1"/>
    <w:basedOn w:val="1"/>
    <w:autoRedefine/>
    <w:qFormat/>
    <w:uiPriority w:val="0"/>
    <w:pPr>
      <w:widowControl w:val="0"/>
      <w:shd w:val="clear" w:color="auto" w:fill="auto"/>
      <w:jc w:val="center"/>
      <w:outlineLvl w:val="1"/>
    </w:pPr>
    <w:rPr>
      <w:rFonts w:ascii="MingLiU" w:hAnsi="MingLiU" w:eastAsia="MingLiU" w:cs="MingLiU"/>
      <w:sz w:val="26"/>
      <w:szCs w:val="26"/>
      <w:u w:val="none"/>
      <w:shd w:val="clear" w:color="auto" w:fill="auto"/>
      <w:lang w:val="zh-TW" w:eastAsia="zh-TW" w:bidi="zh-TW"/>
    </w:rPr>
  </w:style>
  <w:style w:type="paragraph" w:customStyle="1" w:styleId="14">
    <w:name w:val="Body text|1"/>
    <w:basedOn w:val="1"/>
    <w:autoRedefine/>
    <w:qFormat/>
    <w:uiPriority w:val="0"/>
    <w:pPr>
      <w:widowControl w:val="0"/>
      <w:shd w:val="clear" w:color="auto" w:fill="auto"/>
      <w:spacing w:line="382" w:lineRule="auto"/>
      <w:ind w:firstLine="400"/>
    </w:pPr>
    <w:rPr>
      <w:rFonts w:ascii="MingLiU" w:hAnsi="MingLiU" w:eastAsia="MingLiU" w:cs="MingLiU"/>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2018-12-16T21:36:00Z</dcterms:created>
  <dc:creator>chen</dc:creator>
  <cp:lastModifiedBy>刚仔仔</cp:lastModifiedBy>
  <cp:lastPrinted>2020-04-26T14:56:00Z</cp:lastPrinted>
  <dcterms:modified xsi:type="dcterms:W3CDTF">2025-01-24T15:44:01Z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4079151D575342B4A9F63B4F925D8FC9</vt:lpwstr>
  </property>
</Properties>
</file>